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spacing w:after="120" w:lineRule="auto"/>
            <w:ind w:right="30"/>
            <w:jc w:val="both"/>
            <w:rPr>
              <w:rFonts w:ascii="Roboto" w:cs="Roboto" w:eastAsia="Roboto" w:hAnsi="Roboto"/>
              <w:b w:val="1"/>
              <w:sz w:val="28"/>
              <w:szCs w:val="28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sz w:val="28"/>
              <w:szCs w:val="28"/>
              <w:rtl w:val="0"/>
            </w:rPr>
            <w:t xml:space="preserve">Impulsan movilidad ciclista y avances en políticas de cambio climático SEDATU, GIZ y el ITDP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spacing w:after="120" w:lineRule="auto"/>
            <w:ind w:right="30"/>
            <w:jc w:val="both"/>
            <w:rPr>
              <w:rFonts w:ascii="Roboto" w:cs="Roboto" w:eastAsia="Roboto" w:hAnsi="Roboto"/>
              <w:b w:val="1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120" w:lineRule="auto"/>
            <w:ind w:left="720" w:right="30" w:hanging="360"/>
            <w:jc w:val="both"/>
            <w:rPr>
              <w:rFonts w:ascii="Roboto" w:cs="Roboto" w:eastAsia="Roboto" w:hAnsi="Roboto"/>
              <w:b w:val="1"/>
              <w:color w:val="00000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Roboto" w:cs="Roboto" w:eastAsia="Roboto" w:hAnsi="Roboto"/>
              <w:b w:val="1"/>
              <w:color w:val="000000"/>
              <w:rtl w:val="0"/>
            </w:rPr>
            <w:t xml:space="preserve">Presenta</w:t>
          </w: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ron</w:t>
          </w:r>
          <w:r w:rsidDel="00000000" w:rsidR="00000000" w:rsidRPr="00000000">
            <w:rPr>
              <w:rFonts w:ascii="Roboto" w:cs="Roboto" w:eastAsia="Roboto" w:hAnsi="Roboto"/>
              <w:b w:val="1"/>
              <w:color w:val="000000"/>
              <w:rtl w:val="0"/>
            </w:rPr>
            <w:t xml:space="preserve"> el Perfil Ciclista y la actualización del Ranking Ciclociudades 2018 en ciudades mexicanas.</w:t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120" w:lineRule="auto"/>
            <w:ind w:left="720" w:right="30" w:hanging="360"/>
            <w:jc w:val="both"/>
            <w:rPr>
              <w:rFonts w:ascii="Roboto" w:cs="Roboto" w:eastAsia="Roboto" w:hAnsi="Roboto"/>
              <w:b w:val="1"/>
              <w:color w:val="000000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color w:val="000000"/>
              <w:rtl w:val="0"/>
            </w:rPr>
            <w:t xml:space="preserve">México y Alemania </w:t>
          </w: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a través del programa Ciudades &amp; Cambio Climático (CiClim) </w:t>
          </w:r>
          <w:r w:rsidDel="00000000" w:rsidR="00000000" w:rsidRPr="00000000">
            <w:rPr>
              <w:rFonts w:ascii="Roboto" w:cs="Roboto" w:eastAsia="Roboto" w:hAnsi="Roboto"/>
              <w:b w:val="1"/>
              <w:color w:val="000000"/>
              <w:rtl w:val="0"/>
            </w:rPr>
            <w:t xml:space="preserve">colaboran para diseñar e implementar políticas, estrategias y medidas asociadas con el cambio climático, como es la movilidad.  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after="120" w:lineRule="auto"/>
            <w:ind w:right="30"/>
            <w:jc w:val="both"/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Ciudad de México, 3 de junio de 2019.</w:t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 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En el marco del Día Mundial de la Bicicleta, declarado por la Asamblea General de las Naciones Unidas, representantes de la Secretaría de Desarrollo Agrario, Territorial y Urbano (SEDATU), la Cooperación Alemana al Desarrollo Sustentable (GIZ), y del Instituto de Políticas para el Transporte y el Desarrollo (ITDP) presentaron el “Perfil Ciclista” y la nueva versión del “Ranking de Ciclociudades 2018”.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En representación del secretario de la SEDATU, Román Meyer Falcón, Javier Garduño, titular de la Unidad de Políticas, Planeación y Enlace Institucional, explicó que la SEDATU trabaja con la GIZ y el ITDP para impulsar esquemas de movilidad sustentable.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En la reunión, representantes de las instituciones explicaron que el “Perfil Ciclista” es una herramienta para generar información sobre las prácticas y los usos de la bicicleta en las ciudades -a partir de encuestas a ciclistas en calle- que permite guiar la acción de las ciudades y metrópolis mexicanas atendiendo las necesidades de las y los ciclistas.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Dicha metodología fue diseñada por el ITDP e implementada en colaboración con organizaciones ciclistas y los gobiernos locales de las ciudades del programa CiClim: León, Hermosillo, Mérida, Morelia y Tlaquepaque. Los resultados podrán ser aplicados por los gobiernos locales y organizaciones de la sociedad civil para contar con un diagnóstico cualitativo e informar sus políticas de movilidad en bicicleta.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Respecto al Ranking Ciclociudades, su objetivo es evaluar la gestión y el desempeño de las políticas de movilidad en bicicleta de las ciudades; así como intercambiar conocimientos y buenas prácticas para impulsar el ciclismo urbano a nivel nacional.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La metodología del ranking se ha desarrollado desde 2013 en colaboración con grupos ciclistas y representantes de los gobiernos locales y fue adaptada en 2018 para incluir a nuevas ciudades y permitir la observación de avances a nivel local, como la integración de la movilidad ciclista con políticas de cambio climático. 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En esta edición se evaluaron 25 ciudades mexicanas. Entre las cuales se suman, 10 ciudades nuevas como Ahome, Ciudad Guzmán, Ensenada, Irapuato, Mazatlán, entre otras. Querétaro y Guadalajara son las ciudades con mayor avance en su desempeño, con un aumento de 29 y 20 puntos respectivamente en el periodo del 2015 al 2018.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Este año, SEDATU y GIZ impulsaron la elaboración del Perfil Ciclista y apoyaron a la actualización del Ranking, mediante el Programa Ciudades y Cambio Climático (CiClim), en el marco de la cooperación entre México y Alemania para diseñar e implementar políticas, estrategias y medidas asociadas con el cambio climático, como es la movilidad.</w:t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El “Perfil Ciclista” complementará el Ranking Ciclociudades como parte de la estrategia “Ciclociudades” del ITDP, que busca proveer herramientas para construir ciudades seguras, saludables y bajas en emisiones a través de políticas de movilidad en bicicleta eficientes. 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Los materiales están disponibles en las páginas web de SEDATU, del </w:t>
          </w:r>
          <w:hyperlink r:id="rId7">
            <w:r w:rsidDel="00000000" w:rsidR="00000000" w:rsidRPr="00000000">
              <w:rPr>
                <w:rFonts w:ascii="Roboto" w:cs="Roboto" w:eastAsia="Roboto" w:hAnsi="Roboto"/>
                <w:color w:val="1155cc"/>
                <w:u w:val="single"/>
                <w:rtl w:val="0"/>
              </w:rPr>
              <w:t xml:space="preserve">IKI Alliance México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 y en la página web de la </w:t>
          </w: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estrategia </w:t>
          </w:r>
          <w:hyperlink r:id="rId8">
            <w:r w:rsidDel="00000000" w:rsidR="00000000" w:rsidRPr="00000000">
              <w:rPr>
                <w:rFonts w:ascii="Roboto" w:cs="Roboto" w:eastAsia="Roboto" w:hAnsi="Roboto"/>
                <w:color w:val="1155cc"/>
                <w:u w:val="single"/>
                <w:rtl w:val="0"/>
              </w:rPr>
              <w:t xml:space="preserve">“Ciclociudades”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 del ITDP.</w:t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spacing w:after="120" w:lineRule="auto"/>
            <w:ind w:right="30"/>
            <w:jc w:val="both"/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Principales resultados del Perfil Ciclista en 5 ciudades</w:t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numPr>
              <w:ilvl w:val="0"/>
              <w:numId w:val="1"/>
            </w:numPr>
            <w:spacing w:after="120" w:lineRule="auto"/>
            <w:ind w:left="720" w:right="30" w:hanging="360"/>
            <w:jc w:val="both"/>
            <w:rPr>
              <w:rFonts w:ascii="Roboto" w:cs="Roboto" w:eastAsia="Roboto" w:hAnsi="Roboto"/>
              <w:u w:val="none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El Perfil Ciclista 2018 fue elaborado a partir de entrevistas a más de 2 mil ciclistas en León, Hermosillo, Mérida, Morelia y Tlaquepaque, proveyendo resultados valiosos para estas y más ciudades mexicanas. </w:t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numPr>
              <w:ilvl w:val="0"/>
              <w:numId w:val="1"/>
            </w:numPr>
            <w:spacing w:after="120" w:lineRule="auto"/>
            <w:ind w:left="720" w:right="30" w:hanging="360"/>
            <w:jc w:val="both"/>
            <w:rPr>
              <w:rFonts w:ascii="Roboto" w:cs="Roboto" w:eastAsia="Roboto" w:hAnsi="Roboto"/>
              <w:u w:val="none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El 48% de la población ciclista encuestada en las ciudades CiClim identificó la falta de seguridad vial y el 21% la falta de infraestructura vial ciclista adecuada como la principal dificultad para usar la bicicleta.</w:t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Los resultados muestran que una política de movilidad activa que logre atraer a más usuarias y usuarios de la bicicleta tiene un gran potencial de sostenibilidad y no sólo contribuye al desarrollo social y económico:</w:t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numPr>
              <w:ilvl w:val="0"/>
              <w:numId w:val="2"/>
            </w:numPr>
            <w:spacing w:after="120" w:lineRule="auto"/>
            <w:ind w:left="720" w:right="30" w:hanging="36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“Una vez ciclista, siempre ciclista”: La frecuencia de uso de la bicicleta es alta, ya que en promedio 84% de las personas encuestadas usan la bicicleta por lo menos 5 días a la semana.</w:t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numPr>
              <w:ilvl w:val="0"/>
              <w:numId w:val="2"/>
            </w:numPr>
            <w:spacing w:after="120" w:lineRule="auto"/>
            <w:ind w:left="720" w:right="30" w:hanging="36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La bicicleta facilita el acceso a oportunidades económicas y educativas: Las personas usuarias de la bicicleta se trasladan mayoritariamente a lugares de empleo (76%), seguido de compras (46%), ocio (38%) y finalmente estudios (17% en promedio).</w:t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numPr>
              <w:ilvl w:val="0"/>
              <w:numId w:val="2"/>
            </w:numPr>
            <w:spacing w:after="120" w:lineRule="auto"/>
            <w:ind w:left="720" w:right="30" w:hanging="36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La bicicleta apoya a la economía familiar: El uso de la bicicleta permite generar ahorros significativos en comparación con otros modos de transporte, tomando en cuenta que promedio del salario mensual de las y los ciclistas encuestados es de $5 mil 873. </w:t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spacing w:after="120" w:lineRule="auto"/>
            <w:ind w:right="30"/>
            <w:jc w:val="both"/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spacing w:after="120" w:lineRule="auto"/>
            <w:ind w:right="30"/>
            <w:jc w:val="both"/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spacing w:after="120" w:lineRule="auto"/>
            <w:ind w:right="30"/>
            <w:jc w:val="both"/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Principales resultados del Ranking Ciclociudades 2018</w:t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Desde 2013, el Ranking ha evaluado las políticas públicas para incentivar el uso de la bicicleta en 41 ciudades mexicanas, con participación de grupos ciclistas y servidores públicos locales. </w:t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La metodología de la edición 2018 fue actualizada, abarcando nuevos aspectos como la inclusión de la bicicleta como modo de transporte en estrategias de cambio climático, la perspectiva de género, e inversión en infraestructura con fondos locales.</w:t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spacing w:after="12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Los resultados de las 25 ciudades evaluadas en 2018 a nivel nacional muestran un avance sobresaliente en el eje de Regulación, con más de la mitad de las ciudades evaluadas presentando resultados significativos al respecto.</w:t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spacing w:after="120" w:lineRule="auto"/>
            <w:ind w:right="30"/>
            <w:jc w:val="both"/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Entre los avances de ciudades más significativos se encuentran:</w:t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numPr>
              <w:ilvl w:val="0"/>
              <w:numId w:val="3"/>
            </w:numPr>
            <w:spacing w:after="120" w:lineRule="auto"/>
            <w:ind w:left="720" w:right="30" w:hanging="36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Guadalajara: En los ejes de evaluación de intermodalidad, red de movilidad en bicicleta y seguridad vial.</w:t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numPr>
              <w:ilvl w:val="0"/>
              <w:numId w:val="3"/>
            </w:numPr>
            <w:spacing w:after="120" w:lineRule="auto"/>
            <w:ind w:left="720" w:right="30" w:hanging="36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Querétaro: En los ejes de evaluación de promoción y educación, red de movilidad en bicicleta y seguridad vial.</w:t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numPr>
              <w:ilvl w:val="0"/>
              <w:numId w:val="3"/>
            </w:numPr>
            <w:spacing w:after="120" w:lineRule="auto"/>
            <w:ind w:left="720" w:right="30" w:hanging="36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Cancún: En los ejes de evaluación de inversión, red de movilidad en bicicleta y regulación.</w:t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spacing w:after="120" w:lineRule="auto"/>
            <w:ind w:right="30"/>
            <w:jc w:val="both"/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spacing w:after="120" w:lineRule="auto"/>
            <w:ind w:right="30"/>
            <w:jc w:val="both"/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Contactos prensa y medios sociales</w:t>
          </w:r>
        </w:p>
      </w:sdtContent>
    </w:sdt>
    <w:sdt>
      <w:sdtPr>
        <w:tag w:val="goog_rdk_36"/>
      </w:sdtPr>
      <w:sdtContent>
        <w:p w:rsidR="00000000" w:rsidDel="00000000" w:rsidP="00000000" w:rsidRDefault="00000000" w:rsidRPr="00000000" w14:paraId="00000025">
          <w:pPr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ITDP México</w:t>
          </w:r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Brenda Martínez Sandoval 3626 2963 </w:t>
          </w:r>
        </w:p>
      </w:sdtContent>
    </w:sdt>
    <w:sdt>
      <w:sdtPr>
        <w:tag w:val="goog_rdk_38"/>
      </w:sdtPr>
      <w:sdtContent>
        <w:p w:rsidR="00000000" w:rsidDel="00000000" w:rsidP="00000000" w:rsidRDefault="00000000" w:rsidRPr="00000000" w14:paraId="00000027">
          <w:pPr>
            <w:rPr>
              <w:rFonts w:ascii="Roboto" w:cs="Roboto" w:eastAsia="Roboto" w:hAnsi="Roboto"/>
            </w:rPr>
          </w:pPr>
          <w:hyperlink r:id="rId9">
            <w:r w:rsidDel="00000000" w:rsidR="00000000" w:rsidRPr="00000000">
              <w:rPr>
                <w:rFonts w:ascii="Roboto" w:cs="Roboto" w:eastAsia="Roboto" w:hAnsi="Roboto"/>
                <w:color w:val="1155cc"/>
                <w:u w:val="single"/>
                <w:rtl w:val="0"/>
              </w:rPr>
              <w:t xml:space="preserve">brenda.martinez@itdp.org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28">
          <w:pPr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Web: itdp.mx </w:t>
          </w:r>
        </w:p>
      </w:sdtContent>
    </w:sdt>
    <w:sdt>
      <w:sdtPr>
        <w:tag w:val="goog_rdk_40"/>
      </w:sdtPr>
      <w:sdtContent>
        <w:p w:rsidR="00000000" w:rsidDel="00000000" w:rsidP="00000000" w:rsidRDefault="00000000" w:rsidRPr="00000000" w14:paraId="00000029">
          <w:pPr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Facebook: itdpmx</w:t>
          </w:r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2A">
          <w:pPr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Twitter: @ITPDmx</w:t>
          </w:r>
        </w:p>
      </w:sdtContent>
    </w:sdt>
    <w:sdt>
      <w:sdtPr>
        <w:tag w:val="goog_rdk_42"/>
      </w:sdtPr>
      <w:sdtContent>
        <w:p w:rsidR="00000000" w:rsidDel="00000000" w:rsidP="00000000" w:rsidRDefault="00000000" w:rsidRPr="00000000" w14:paraId="0000002B">
          <w:pPr>
            <w:ind w:right="30"/>
            <w:jc w:val="both"/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2C">
          <w:pPr>
            <w:ind w:right="30"/>
            <w:jc w:val="both"/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SEDATU</w:t>
          </w:r>
        </w:p>
      </w:sdtContent>
    </w:sdt>
    <w:sdt>
      <w:sdtPr>
        <w:tag w:val="goog_rdk_44"/>
      </w:sdtPr>
      <w:sdtContent>
        <w:p w:rsidR="00000000" w:rsidDel="00000000" w:rsidP="00000000" w:rsidRDefault="00000000" w:rsidRPr="00000000" w14:paraId="0000002D">
          <w:pPr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Fabiola Avalos Escobar 0445543676777 </w:t>
          </w:r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2E">
          <w:pPr>
            <w:ind w:right="30"/>
            <w:jc w:val="both"/>
            <w:rPr>
              <w:rFonts w:ascii="Roboto" w:cs="Roboto" w:eastAsia="Roboto" w:hAnsi="Roboto"/>
            </w:rPr>
          </w:pPr>
          <w:hyperlink r:id="rId10">
            <w:r w:rsidDel="00000000" w:rsidR="00000000" w:rsidRPr="00000000">
              <w:rPr>
                <w:rFonts w:ascii="Roboto" w:cs="Roboto" w:eastAsia="Roboto" w:hAnsi="Roboto"/>
                <w:color w:val="1155cc"/>
                <w:u w:val="single"/>
                <w:rtl w:val="0"/>
              </w:rPr>
              <w:t xml:space="preserve">fabiola.avalos@sedatu.gob.mx</w:t>
            </w:r>
          </w:hyperlink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6"/>
      </w:sdtPr>
      <w:sdtContent>
        <w:p w:rsidR="00000000" w:rsidDel="00000000" w:rsidP="00000000" w:rsidRDefault="00000000" w:rsidRPr="00000000" w14:paraId="0000002F">
          <w:pPr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Web: gob.mx/sedatu</w:t>
          </w:r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30">
          <w:pPr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Facebook: SEDATU.Mexico</w:t>
          </w:r>
        </w:p>
      </w:sdtContent>
    </w:sdt>
    <w:sdt>
      <w:sdtPr>
        <w:tag w:val="goog_rdk_48"/>
      </w:sdtPr>
      <w:sdtContent>
        <w:p w:rsidR="00000000" w:rsidDel="00000000" w:rsidP="00000000" w:rsidRDefault="00000000" w:rsidRPr="00000000" w14:paraId="00000031">
          <w:pPr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Instagram: SEDATU_mx</w:t>
          </w:r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32">
          <w:pPr>
            <w:ind w:right="30"/>
            <w:jc w:val="both"/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Youtube: SEDATUmx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0"/>
      </w:sdtPr>
      <w:sdtContent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34">
          <w:pPr>
            <w:ind w:right="30"/>
            <w:jc w:val="both"/>
            <w:rPr>
              <w:rFonts w:ascii="Roboto" w:cs="Roboto" w:eastAsia="Roboto" w:hAnsi="Roboto"/>
              <w:b w:val="1"/>
            </w:rPr>
          </w:pPr>
          <w:r w:rsidDel="00000000" w:rsidR="00000000" w:rsidRPr="00000000">
            <w:rPr>
              <w:rFonts w:ascii="Roboto" w:cs="Roboto" w:eastAsia="Roboto" w:hAnsi="Roboto"/>
              <w:b w:val="1"/>
              <w:rtl w:val="0"/>
            </w:rPr>
            <w:t xml:space="preserve">GIZ México</w:t>
          </w:r>
        </w:p>
      </w:sdtContent>
    </w:sdt>
    <w:sdt>
      <w:sdtPr>
        <w:tag w:val="goog_rdk_52"/>
      </w:sdtPr>
      <w:sdtContent>
        <w:p w:rsidR="00000000" w:rsidDel="00000000" w:rsidP="00000000" w:rsidRDefault="00000000" w:rsidRPr="00000000" w14:paraId="00000035">
          <w:pPr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Mathias Merforth 5536 0066</w:t>
          </w:r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36">
          <w:pPr>
            <w:ind w:right="30"/>
            <w:jc w:val="both"/>
            <w:rPr>
              <w:rFonts w:ascii="Roboto" w:cs="Roboto" w:eastAsia="Roboto" w:hAnsi="Roboto"/>
            </w:rPr>
          </w:pPr>
          <w:hyperlink r:id="rId11">
            <w:r w:rsidDel="00000000" w:rsidR="00000000" w:rsidRPr="00000000">
              <w:rPr>
                <w:rFonts w:ascii="Roboto" w:cs="Roboto" w:eastAsia="Roboto" w:hAnsi="Roboto"/>
                <w:color w:val="1155cc"/>
                <w:u w:val="single"/>
                <w:rtl w:val="0"/>
              </w:rPr>
              <w:t xml:space="preserve">mathias.merforth@giz.de</w:t>
            </w:r>
          </w:hyperlink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 </w:t>
          </w:r>
        </w:p>
      </w:sdtContent>
    </w:sdt>
    <w:sdt>
      <w:sdtPr>
        <w:tag w:val="goog_rdk_54"/>
      </w:sdtPr>
      <w:sdtContent>
        <w:p w:rsidR="00000000" w:rsidDel="00000000" w:rsidP="00000000" w:rsidRDefault="00000000" w:rsidRPr="00000000" w14:paraId="00000037">
          <w:pPr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Web: iki-alliance.mx</w:t>
          </w:r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38">
          <w:pPr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Fonts w:ascii="Roboto" w:cs="Roboto" w:eastAsia="Roboto" w:hAnsi="Roboto"/>
              <w:rtl w:val="0"/>
            </w:rPr>
            <w:t xml:space="preserve">Twitter: @ciudades_demx</w:t>
          </w:r>
        </w:p>
      </w:sdtContent>
    </w:sdt>
    <w:sdt>
      <w:sdtPr>
        <w:tag w:val="goog_rdk_56"/>
      </w:sdtPr>
      <w:sdtContent>
        <w:p w:rsidR="00000000" w:rsidDel="00000000" w:rsidP="00000000" w:rsidRDefault="00000000" w:rsidRPr="00000000" w14:paraId="00000039">
          <w:pPr>
            <w:spacing w:line="360" w:lineRule="auto"/>
            <w:ind w:right="30"/>
            <w:jc w:val="both"/>
            <w:rPr>
              <w:rFonts w:ascii="Roboto" w:cs="Roboto" w:eastAsia="Roboto" w:hAnsi="Roboto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headerReference r:id="rId12" w:type="default"/>
      <w:pgSz w:h="15840" w:w="12240"/>
      <w:pgMar w:bottom="1276" w:top="1417" w:left="1701" w:right="1701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57"/>
    </w:sdtPr>
    <w:sdtContent>
      <w:p w:rsidR="00000000" w:rsidDel="00000000" w:rsidP="00000000" w:rsidRDefault="00000000" w:rsidRPr="00000000" w14:paraId="0000003A">
        <w:pPr>
          <w:keepNext w:val="0"/>
          <w:keepLines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536"/>
            <w:tab w:val="right" w:pos="9072"/>
          </w:tabs>
          <w:spacing w:after="0" w:before="0" w:line="240" w:lineRule="auto"/>
          <w:ind w:left="0" w:right="0" w:firstLine="0"/>
          <w:jc w:val="left"/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</w:pPr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  <w:r w:rsidDel="00000000" w:rsidR="00000000" w:rsidRPr="00000000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4933315</wp:posOffset>
              </wp:positionH>
              <wp:positionV relativeFrom="paragraph">
                <wp:posOffset>205740</wp:posOffset>
              </wp:positionV>
              <wp:extent cx="609600" cy="245745"/>
              <wp:effectExtent b="0" l="0" r="0" t="0"/>
              <wp:wrapSquare wrapText="bothSides" distB="0" distT="0" distL="114300" distR="114300"/>
              <wp:docPr descr="https://lh6.googleusercontent.com/6q3uSlxmiyGuAQhSWfkwLldGBnsqQz5NJ7ZKemO5Hd-8-IZn0uMJArJbmAUuPBVELBL1b2MysoQxWiJYo5oVFFwUPMPfV4xAErDznxOdlaBQ8bRUBvkZz2fQk13vCH9SoxHeLAR9" id="31" name="image1.png"/>
              <a:graphic>
                <a:graphicData uri="http://schemas.openxmlformats.org/drawingml/2006/picture">
                  <pic:pic>
                    <pic:nvPicPr>
                      <pic:cNvPr descr="https://lh6.googleusercontent.com/6q3uSlxmiyGuAQhSWfkwLldGBnsqQz5NJ7ZKemO5Hd-8-IZn0uMJArJbmAUuPBVELBL1b2MysoQxWiJYo5oVFFwUPMPfV4xAErDznxOdlaBQ8bRUBvkZz2fQk13vCH9SoxHeLAR9"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600" cy="245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  <w:r w:rsidDel="00000000" w:rsidR="00000000" w:rsidRPr="00000000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2164715</wp:posOffset>
              </wp:positionH>
              <wp:positionV relativeFrom="paragraph">
                <wp:posOffset>17780</wp:posOffset>
              </wp:positionV>
              <wp:extent cx="1969135" cy="786765"/>
              <wp:effectExtent b="0" l="0" r="0" t="0"/>
              <wp:wrapSquare wrapText="bothSides" distB="0" distT="0" distL="114300" distR="114300"/>
              <wp:docPr id="34" name="image4.jpg"/>
              <a:graphic>
                <a:graphicData uri="http://schemas.openxmlformats.org/drawingml/2006/picture">
                  <pic:pic>
                    <pic:nvPicPr>
                      <pic:cNvPr id="0" name="image4.jpg"/>
                      <pic:cNvPicPr preferRelativeResize="0"/>
                    </pic:nvPicPr>
                    <pic:blipFill>
                      <a:blip r:embed="rId2"/>
                      <a:srcRect b="0" l="49586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9135" cy="786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  <w:r w:rsidDel="00000000" w:rsidR="00000000" w:rsidRPr="00000000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4145915</wp:posOffset>
              </wp:positionH>
              <wp:positionV relativeFrom="paragraph">
                <wp:posOffset>211455</wp:posOffset>
              </wp:positionV>
              <wp:extent cx="609600" cy="231140"/>
              <wp:effectExtent b="0" l="0" r="0" t="0"/>
              <wp:wrapSquare wrapText="bothSides" distB="0" distT="0" distL="114300" distR="114300"/>
              <wp:docPr descr="https://lh6.googleusercontent.com/l2B-c-Q9VztoiVTVloLgulaYdcZsD_rCZETFIM1VTXjjHCQBca4cMM46Xek3xRMvCZ_1jlUT5yLBNsQEfNbQYcEo6PYTTxXtddZtE1eNJMWkPoBRxn8uxr2JC2wsqsE1aDkZQpbE" id="33" name="image3.png"/>
              <a:graphic>
                <a:graphicData uri="http://schemas.openxmlformats.org/drawingml/2006/picture">
                  <pic:pic>
                    <pic:nvPicPr>
                      <pic:cNvPr descr="https://lh6.googleusercontent.com/l2B-c-Q9VztoiVTVloLgulaYdcZsD_rCZETFIM1VTXjjHCQBca4cMM46Xek3xRMvCZ_1jlUT5yLBNsQEfNbQYcEo6PYTTxXtddZtE1eNJMWkPoBRxn8uxr2JC2wsqsE1aDkZQpbE"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600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  <w:r w:rsidDel="00000000" w:rsidR="00000000" w:rsidRPr="00000000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</wp:posOffset>
              </wp:positionH>
              <wp:positionV relativeFrom="paragraph">
                <wp:posOffset>86995</wp:posOffset>
              </wp:positionV>
              <wp:extent cx="2178050" cy="504190"/>
              <wp:effectExtent b="0" l="0" r="0" t="0"/>
              <wp:wrapSquare wrapText="bothSides" distB="0" distT="0" distL="114300" distR="114300"/>
              <wp:docPr id="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8050" cy="5041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B3AF8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B3AF8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006932"/>
    <w:pPr>
      <w:spacing w:after="100" w:afterAutospacing="1" w:before="100" w:beforeAutospacing="1"/>
    </w:pPr>
    <w:rPr>
      <w:rFonts w:ascii="Times New Roman" w:cs="Times New Roman" w:eastAsia="Times New Roman" w:hAnsi="Times New Roman"/>
      <w:lang w:val="fr-FR"/>
    </w:rPr>
  </w:style>
  <w:style w:type="paragraph" w:styleId="Encabezado">
    <w:name w:val="header"/>
    <w:basedOn w:val="Normal"/>
    <w:link w:val="EncabezadoCar"/>
    <w:uiPriority w:val="99"/>
    <w:unhideWhenUsed w:val="1"/>
    <w:rsid w:val="00935B54"/>
    <w:pPr>
      <w:tabs>
        <w:tab w:val="center" w:pos="4536"/>
        <w:tab w:val="right" w:pos="9072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35B54"/>
  </w:style>
  <w:style w:type="paragraph" w:styleId="Piedepgina">
    <w:name w:val="footer"/>
    <w:basedOn w:val="Normal"/>
    <w:link w:val="PiedepginaCar"/>
    <w:uiPriority w:val="99"/>
    <w:unhideWhenUsed w:val="1"/>
    <w:rsid w:val="00935B54"/>
    <w:pPr>
      <w:tabs>
        <w:tab w:val="center" w:pos="4536"/>
        <w:tab w:val="right" w:pos="9072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35B5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athias.merforth@giz.de" TargetMode="External"/><Relationship Id="rId10" Type="http://schemas.openxmlformats.org/officeDocument/2006/relationships/hyperlink" Target="mailto:fabiola.avalos@sedatu.gob.mx" TargetMode="External"/><Relationship Id="rId12" Type="http://schemas.openxmlformats.org/officeDocument/2006/relationships/header" Target="header1.xml"/><Relationship Id="rId9" Type="http://schemas.openxmlformats.org/officeDocument/2006/relationships/hyperlink" Target="mailto:brenda.martinez@itdp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ki-alliance.mx/" TargetMode="External"/><Relationship Id="rId8" Type="http://schemas.openxmlformats.org/officeDocument/2006/relationships/hyperlink" Target="http://ciclociudades.mx/perfil-ciclista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jp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FPJCWIkVRvYpFN1yTsMXMWFpVg==">AMUW2mU996nt1pWWd6OIxoxLqI4IfeBzzN88Adaaex847AoYK4AON9icL8r/4Mwir2Oi87gpyD+K7+YlY/09I8qg42easec13lCjp5VVPNZhk3cUnl6zaukPZfljvwxDzY+tG66loB5r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2019-06-03T19:58:00Z</dcterms:created>
  <dc:creator>Clara Vadillo Quesada</dc:creator>
</cp:coreProperties>
</file>